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55660A55"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521DD0">
        <w:rPr>
          <w:rFonts w:asciiTheme="minorHAnsi" w:hAnsiTheme="minorHAnsi" w:cstheme="minorHAnsi"/>
          <w:b/>
          <w:bCs/>
          <w:sz w:val="28"/>
          <w:szCs w:val="28"/>
        </w:rPr>
        <w:t>02</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521DD0">
        <w:rPr>
          <w:rFonts w:asciiTheme="minorHAnsi" w:hAnsiTheme="minorHAnsi" w:cstheme="minorHAnsi"/>
          <w:b/>
          <w:bCs/>
          <w:sz w:val="28"/>
          <w:szCs w:val="28"/>
        </w:rPr>
        <w:t>8</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4C9D1E7D"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695090">
        <w:rPr>
          <w:rFonts w:asciiTheme="minorHAnsi" w:hAnsiTheme="minorHAnsi" w:cstheme="minorHAnsi"/>
          <w:sz w:val="22"/>
          <w:szCs w:val="22"/>
        </w:rPr>
        <w:t>26</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610293">
        <w:rPr>
          <w:rFonts w:asciiTheme="minorHAnsi" w:hAnsiTheme="minorHAnsi" w:cstheme="minorHAnsi"/>
          <w:sz w:val="22"/>
          <w:szCs w:val="22"/>
        </w:rPr>
        <w:t>7</w:t>
      </w:r>
      <w:r w:rsidRPr="00271C1D">
        <w:rPr>
          <w:rFonts w:asciiTheme="minorHAnsi" w:hAnsiTheme="minorHAnsi" w:cstheme="minorHAnsi"/>
          <w:sz w:val="22"/>
          <w:szCs w:val="22"/>
        </w:rPr>
        <w:t xml:space="preserve">.2020 al </w:t>
      </w:r>
      <w:r w:rsidR="00695090">
        <w:rPr>
          <w:rFonts w:asciiTheme="minorHAnsi" w:hAnsiTheme="minorHAnsi" w:cstheme="minorHAnsi"/>
          <w:sz w:val="22"/>
          <w:szCs w:val="22"/>
        </w:rPr>
        <w:t>30</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2C4EE9" w:rsidRPr="00271C1D">
        <w:rPr>
          <w:rFonts w:asciiTheme="minorHAnsi" w:hAnsiTheme="minorHAnsi" w:cstheme="minorHAnsi"/>
          <w:sz w:val="22"/>
          <w:szCs w:val="22"/>
        </w:rPr>
        <w:t>7</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695090">
        <w:rPr>
          <w:rFonts w:asciiTheme="minorHAnsi" w:hAnsiTheme="minorHAnsi" w:cstheme="minorHAnsi"/>
          <w:sz w:val="22"/>
          <w:szCs w:val="22"/>
        </w:rPr>
        <w:t>72.70</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695090">
        <w:rPr>
          <w:rFonts w:asciiTheme="minorHAnsi" w:hAnsiTheme="minorHAnsi" w:cstheme="minorHAnsi"/>
          <w:sz w:val="22"/>
          <w:szCs w:val="22"/>
        </w:rPr>
        <w:t>aumentando</w:t>
      </w:r>
      <w:r w:rsidRPr="00271C1D">
        <w:rPr>
          <w:rFonts w:asciiTheme="minorHAnsi" w:hAnsiTheme="minorHAnsi" w:cstheme="minorHAnsi"/>
          <w:sz w:val="22"/>
          <w:szCs w:val="22"/>
        </w:rPr>
        <w:t xml:space="preserve"> en </w:t>
      </w:r>
      <w:r w:rsidR="00695090">
        <w:rPr>
          <w:rFonts w:asciiTheme="minorHAnsi" w:hAnsiTheme="minorHAnsi" w:cstheme="minorHAnsi"/>
          <w:sz w:val="22"/>
          <w:szCs w:val="22"/>
        </w:rPr>
        <w:t>2.96</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695090">
        <w:rPr>
          <w:rFonts w:asciiTheme="minorHAnsi" w:hAnsiTheme="minorHAnsi" w:cstheme="minorHAnsi"/>
          <w:sz w:val="22"/>
          <w:szCs w:val="22"/>
        </w:rPr>
        <w:t>4.24</w:t>
      </w:r>
      <w:r w:rsidRPr="00271C1D">
        <w:rPr>
          <w:rFonts w:asciiTheme="minorHAnsi" w:hAnsiTheme="minorHAnsi" w:cstheme="minorHAnsi"/>
          <w:sz w:val="22"/>
          <w:szCs w:val="22"/>
        </w:rPr>
        <w:t>%) con relación al precio promedio del periodo previo.</w:t>
      </w:r>
    </w:p>
    <w:p w14:paraId="42A791A7" w14:textId="77777777" w:rsidR="00292E66" w:rsidRPr="00271C1D" w:rsidRDefault="00292E66" w:rsidP="008126CB">
      <w:pPr>
        <w:ind w:left="709"/>
        <w:jc w:val="both"/>
        <w:rPr>
          <w:rFonts w:asciiTheme="minorHAnsi" w:hAnsiTheme="minorHAnsi" w:cstheme="minorHAnsi"/>
          <w:sz w:val="22"/>
          <w:szCs w:val="22"/>
        </w:rPr>
      </w:pPr>
    </w:p>
    <w:p w14:paraId="758DD1CE" w14:textId="67B119F3" w:rsidR="008825CF" w:rsidRDefault="008126CB" w:rsidP="000E16A0">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w:t>
      </w:r>
      <w:r w:rsidR="000E16A0">
        <w:rPr>
          <w:rFonts w:asciiTheme="minorHAnsi" w:hAnsiTheme="minorHAnsi" w:cstheme="minorHAnsi"/>
          <w:sz w:val="22"/>
          <w:szCs w:val="22"/>
        </w:rPr>
        <w:t>promedio de la Gasolina CBOB</w:t>
      </w:r>
      <w:r w:rsidR="000E16A0">
        <w:rPr>
          <w:rStyle w:val="Refdenotaalpie"/>
          <w:rFonts w:asciiTheme="minorHAnsi" w:hAnsiTheme="minorHAnsi" w:cstheme="minorHAnsi"/>
          <w:sz w:val="22"/>
          <w:szCs w:val="22"/>
        </w:rPr>
        <w:footnoteReference w:id="2"/>
      </w:r>
      <w:r w:rsidR="000E16A0">
        <w:rPr>
          <w:rFonts w:asciiTheme="minorHAnsi" w:hAnsiTheme="minorHAnsi" w:cstheme="minorHAnsi"/>
          <w:sz w:val="22"/>
          <w:szCs w:val="22"/>
        </w:rPr>
        <w:t xml:space="preserve"> 87 subió</w:t>
      </w:r>
      <w:r w:rsidRPr="00271C1D">
        <w:rPr>
          <w:rFonts w:asciiTheme="minorHAnsi" w:hAnsiTheme="minorHAnsi" w:cstheme="minorHAnsi"/>
          <w:sz w:val="22"/>
          <w:szCs w:val="22"/>
        </w:rPr>
        <w:t xml:space="preserve"> </w:t>
      </w:r>
      <w:r w:rsidR="000E16A0">
        <w:rPr>
          <w:rFonts w:asciiTheme="minorHAnsi" w:hAnsiTheme="minorHAnsi" w:cstheme="minorHAnsi"/>
          <w:sz w:val="22"/>
          <w:szCs w:val="22"/>
        </w:rPr>
        <w:t>3.92</w:t>
      </w:r>
      <w:r w:rsidR="00856D3F"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0E16A0">
        <w:rPr>
          <w:rFonts w:asciiTheme="minorHAnsi" w:hAnsiTheme="minorHAnsi" w:cstheme="minorHAnsi"/>
          <w:sz w:val="22"/>
          <w:szCs w:val="22"/>
        </w:rPr>
        <w:t>4.36</w:t>
      </w:r>
      <w:r w:rsidRPr="00271C1D">
        <w:rPr>
          <w:rFonts w:asciiTheme="minorHAnsi" w:hAnsiTheme="minorHAnsi" w:cstheme="minorHAnsi"/>
          <w:sz w:val="22"/>
          <w:szCs w:val="22"/>
        </w:rPr>
        <w:t>%), la co</w:t>
      </w:r>
      <w:r w:rsidR="000E16A0">
        <w:rPr>
          <w:rFonts w:asciiTheme="minorHAnsi" w:hAnsiTheme="minorHAnsi" w:cstheme="minorHAnsi"/>
          <w:sz w:val="22"/>
          <w:szCs w:val="22"/>
        </w:rPr>
        <w:t>tización de la Gasolina UNL 87</w:t>
      </w:r>
      <w:r w:rsidR="00297747" w:rsidRPr="00271C1D">
        <w:rPr>
          <w:rFonts w:asciiTheme="minorHAnsi" w:hAnsiTheme="minorHAnsi" w:cstheme="minorHAnsi"/>
          <w:sz w:val="22"/>
          <w:szCs w:val="22"/>
        </w:rPr>
        <w:t xml:space="preserve"> </w:t>
      </w:r>
      <w:r w:rsidR="000E16A0">
        <w:rPr>
          <w:rFonts w:asciiTheme="minorHAnsi" w:hAnsiTheme="minorHAnsi" w:cstheme="minorHAnsi"/>
          <w:sz w:val="22"/>
          <w:szCs w:val="22"/>
        </w:rPr>
        <w:t>se elevó</w:t>
      </w:r>
      <w:r w:rsidR="00E57128" w:rsidRPr="00271C1D">
        <w:rPr>
          <w:rFonts w:asciiTheme="minorHAnsi" w:hAnsiTheme="minorHAnsi" w:cstheme="minorHAnsi"/>
          <w:sz w:val="22"/>
          <w:szCs w:val="22"/>
        </w:rPr>
        <w:t xml:space="preserve"> </w:t>
      </w:r>
      <w:r w:rsidR="000E16A0">
        <w:rPr>
          <w:rFonts w:asciiTheme="minorHAnsi" w:hAnsiTheme="minorHAnsi" w:cstheme="minorHAnsi"/>
          <w:sz w:val="22"/>
          <w:szCs w:val="22"/>
        </w:rPr>
        <w:t>4.30</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0E16A0">
        <w:rPr>
          <w:rFonts w:asciiTheme="minorHAnsi" w:hAnsiTheme="minorHAnsi" w:cstheme="minorHAnsi"/>
          <w:sz w:val="22"/>
          <w:szCs w:val="22"/>
        </w:rPr>
        <w:t>4.72</w:t>
      </w:r>
      <w:r w:rsidRPr="00271C1D">
        <w:rPr>
          <w:rFonts w:asciiTheme="minorHAnsi" w:hAnsiTheme="minorHAnsi" w:cstheme="minorHAnsi"/>
          <w:sz w:val="22"/>
          <w:szCs w:val="22"/>
        </w:rPr>
        <w:t>%)</w:t>
      </w:r>
      <w:r w:rsidR="008825CF">
        <w:rPr>
          <w:rFonts w:asciiTheme="minorHAnsi" w:hAnsiTheme="minorHAnsi" w:cstheme="minorHAnsi"/>
          <w:sz w:val="22"/>
          <w:szCs w:val="22"/>
        </w:rPr>
        <w:t>, mientras que el precio de la Gasolina UNL 93 aumentó 3.41 US$/</w:t>
      </w:r>
      <w:proofErr w:type="spellStart"/>
      <w:r w:rsidR="008825CF">
        <w:rPr>
          <w:rFonts w:asciiTheme="minorHAnsi" w:hAnsiTheme="minorHAnsi" w:cstheme="minorHAnsi"/>
          <w:sz w:val="22"/>
          <w:szCs w:val="22"/>
        </w:rPr>
        <w:t>Bl</w:t>
      </w:r>
      <w:proofErr w:type="spellEnd"/>
      <w:r w:rsidR="008825CF">
        <w:rPr>
          <w:rFonts w:asciiTheme="minorHAnsi" w:hAnsiTheme="minorHAnsi" w:cstheme="minorHAnsi"/>
          <w:sz w:val="22"/>
          <w:szCs w:val="22"/>
        </w:rPr>
        <w:t xml:space="preserve"> (3.47%).</w:t>
      </w:r>
    </w:p>
    <w:p w14:paraId="103D6449" w14:textId="77777777" w:rsidR="00292E66" w:rsidRDefault="00292E66" w:rsidP="000E16A0">
      <w:pPr>
        <w:ind w:left="709"/>
        <w:jc w:val="both"/>
        <w:rPr>
          <w:rFonts w:asciiTheme="minorHAnsi" w:hAnsiTheme="minorHAnsi" w:cstheme="minorHAnsi"/>
          <w:sz w:val="22"/>
          <w:szCs w:val="22"/>
        </w:rPr>
      </w:pPr>
    </w:p>
    <w:p w14:paraId="009832FF" w14:textId="2728057D" w:rsidR="003F4F50" w:rsidRDefault="008825CF" w:rsidP="008126CB">
      <w:pPr>
        <w:ind w:left="709"/>
        <w:jc w:val="both"/>
        <w:rPr>
          <w:rFonts w:asciiTheme="minorHAnsi" w:hAnsiTheme="minorHAnsi" w:cstheme="minorHAnsi"/>
          <w:sz w:val="22"/>
          <w:szCs w:val="22"/>
        </w:rPr>
      </w:pPr>
      <w:r>
        <w:rPr>
          <w:rFonts w:asciiTheme="minorHAnsi" w:hAnsiTheme="minorHAnsi" w:cstheme="minorHAnsi"/>
          <w:sz w:val="22"/>
          <w:szCs w:val="22"/>
        </w:rPr>
        <w:t>P</w:t>
      </w:r>
      <w:r w:rsidR="007D2A09">
        <w:rPr>
          <w:rFonts w:asciiTheme="minorHAnsi" w:hAnsiTheme="minorHAnsi" w:cstheme="minorHAnsi"/>
          <w:sz w:val="22"/>
          <w:szCs w:val="22"/>
        </w:rPr>
        <w:t>or otro lado</w:t>
      </w:r>
      <w:r>
        <w:rPr>
          <w:rFonts w:asciiTheme="minorHAnsi" w:hAnsiTheme="minorHAnsi" w:cstheme="minorHAnsi"/>
          <w:sz w:val="22"/>
          <w:szCs w:val="22"/>
        </w:rPr>
        <w:t>, el precio del J</w:t>
      </w:r>
      <w:r w:rsidR="000E16A0" w:rsidRPr="00271C1D">
        <w:rPr>
          <w:rFonts w:asciiTheme="minorHAnsi" w:hAnsiTheme="minorHAnsi" w:cstheme="minorHAnsi"/>
          <w:sz w:val="22"/>
          <w:szCs w:val="22"/>
        </w:rPr>
        <w:t xml:space="preserve">et 54 </w:t>
      </w:r>
      <w:r w:rsidR="000E16A0">
        <w:rPr>
          <w:rFonts w:asciiTheme="minorHAnsi" w:hAnsiTheme="minorHAnsi" w:cstheme="minorHAnsi"/>
          <w:sz w:val="22"/>
          <w:szCs w:val="22"/>
        </w:rPr>
        <w:t>se incrementó</w:t>
      </w:r>
      <w:r w:rsidR="000E16A0" w:rsidRPr="00271C1D">
        <w:rPr>
          <w:rFonts w:asciiTheme="minorHAnsi" w:hAnsiTheme="minorHAnsi" w:cstheme="minorHAnsi"/>
          <w:sz w:val="22"/>
          <w:szCs w:val="22"/>
        </w:rPr>
        <w:t xml:space="preserve"> </w:t>
      </w:r>
      <w:r w:rsidR="000E16A0">
        <w:rPr>
          <w:rFonts w:asciiTheme="minorHAnsi" w:hAnsiTheme="minorHAnsi" w:cstheme="minorHAnsi"/>
          <w:sz w:val="22"/>
          <w:szCs w:val="22"/>
        </w:rPr>
        <w:t xml:space="preserve">3.72 </w:t>
      </w:r>
      <w:r w:rsidR="000E16A0" w:rsidRPr="00271C1D">
        <w:rPr>
          <w:rFonts w:asciiTheme="minorHAnsi" w:hAnsiTheme="minorHAnsi" w:cstheme="minorHAnsi"/>
          <w:sz w:val="22"/>
          <w:szCs w:val="22"/>
        </w:rPr>
        <w:t>US$/</w:t>
      </w:r>
      <w:proofErr w:type="spellStart"/>
      <w:r w:rsidR="000E16A0" w:rsidRPr="00271C1D">
        <w:rPr>
          <w:rFonts w:asciiTheme="minorHAnsi" w:hAnsiTheme="minorHAnsi" w:cstheme="minorHAnsi"/>
          <w:sz w:val="22"/>
          <w:szCs w:val="22"/>
        </w:rPr>
        <w:t>Bl</w:t>
      </w:r>
      <w:proofErr w:type="spellEnd"/>
      <w:r w:rsidR="000E16A0" w:rsidRPr="00271C1D">
        <w:rPr>
          <w:rFonts w:asciiTheme="minorHAnsi" w:hAnsiTheme="minorHAnsi" w:cstheme="minorHAnsi"/>
          <w:sz w:val="22"/>
          <w:szCs w:val="22"/>
        </w:rPr>
        <w:t xml:space="preserve"> (</w:t>
      </w:r>
      <w:r w:rsidR="000E16A0">
        <w:rPr>
          <w:rFonts w:asciiTheme="minorHAnsi" w:hAnsiTheme="minorHAnsi" w:cstheme="minorHAnsi"/>
          <w:sz w:val="22"/>
          <w:szCs w:val="22"/>
        </w:rPr>
        <w:t>4.81</w:t>
      </w:r>
      <w:r>
        <w:rPr>
          <w:rFonts w:asciiTheme="minorHAnsi" w:hAnsiTheme="minorHAnsi" w:cstheme="minorHAnsi"/>
          <w:sz w:val="22"/>
          <w:szCs w:val="22"/>
        </w:rPr>
        <w:t xml:space="preserve">%), en tanto </w:t>
      </w:r>
      <w:r w:rsidR="008126CB" w:rsidRPr="00271C1D">
        <w:rPr>
          <w:rFonts w:asciiTheme="minorHAnsi" w:hAnsiTheme="minorHAnsi" w:cstheme="minorHAnsi"/>
          <w:sz w:val="22"/>
          <w:szCs w:val="22"/>
        </w:rPr>
        <w:t xml:space="preserve">el precio del </w:t>
      </w:r>
      <w:r>
        <w:rPr>
          <w:rFonts w:asciiTheme="minorHAnsi" w:hAnsiTheme="minorHAnsi" w:cstheme="minorHAnsi"/>
          <w:sz w:val="22"/>
          <w:szCs w:val="22"/>
        </w:rPr>
        <w:t>ULS Diésel</w:t>
      </w:r>
      <w:r w:rsidR="008126CB" w:rsidRPr="00271C1D">
        <w:rPr>
          <w:rFonts w:asciiTheme="minorHAnsi" w:hAnsiTheme="minorHAnsi" w:cstheme="minorHAnsi"/>
          <w:sz w:val="22"/>
          <w:szCs w:val="22"/>
        </w:rPr>
        <w:t xml:space="preserve"> </w:t>
      </w:r>
      <w:r>
        <w:rPr>
          <w:rFonts w:asciiTheme="minorHAnsi" w:hAnsiTheme="minorHAnsi" w:cstheme="minorHAnsi"/>
          <w:sz w:val="22"/>
          <w:szCs w:val="22"/>
        </w:rPr>
        <w:t>subió</w:t>
      </w:r>
      <w:r w:rsidR="008126CB" w:rsidRPr="00271C1D">
        <w:rPr>
          <w:rFonts w:asciiTheme="minorHAnsi" w:hAnsiTheme="minorHAnsi" w:cstheme="minorHAnsi"/>
          <w:sz w:val="22"/>
          <w:szCs w:val="22"/>
        </w:rPr>
        <w:t xml:space="preserve"> </w:t>
      </w:r>
      <w:r>
        <w:rPr>
          <w:rFonts w:asciiTheme="minorHAnsi" w:hAnsiTheme="minorHAnsi" w:cstheme="minorHAnsi"/>
          <w:sz w:val="22"/>
          <w:szCs w:val="22"/>
        </w:rPr>
        <w:t>4.10</w:t>
      </w:r>
      <w:r w:rsidR="007A087F">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Pr>
          <w:rFonts w:asciiTheme="minorHAnsi" w:hAnsiTheme="minorHAnsi" w:cstheme="minorHAnsi"/>
          <w:sz w:val="22"/>
          <w:szCs w:val="22"/>
        </w:rPr>
        <w:t>4.83%). Finalmente, el precio del R</w:t>
      </w:r>
      <w:r w:rsidR="008126CB" w:rsidRPr="00271C1D">
        <w:rPr>
          <w:rFonts w:asciiTheme="minorHAnsi" w:hAnsiTheme="minorHAnsi" w:cstheme="minorHAnsi"/>
          <w:sz w:val="22"/>
          <w:szCs w:val="22"/>
        </w:rPr>
        <w:t xml:space="preserve">esidual Nº6-3%S </w:t>
      </w:r>
      <w:r>
        <w:rPr>
          <w:rFonts w:asciiTheme="minorHAnsi" w:hAnsiTheme="minorHAnsi" w:cstheme="minorHAnsi"/>
          <w:sz w:val="22"/>
          <w:szCs w:val="22"/>
        </w:rPr>
        <w:t>se elevó</w:t>
      </w:r>
      <w:r w:rsidR="008126CB" w:rsidRPr="00271C1D">
        <w:rPr>
          <w:rFonts w:asciiTheme="minorHAnsi" w:hAnsiTheme="minorHAnsi" w:cstheme="minorHAnsi"/>
          <w:sz w:val="22"/>
          <w:szCs w:val="22"/>
        </w:rPr>
        <w:t xml:space="preserve"> </w:t>
      </w:r>
      <w:r>
        <w:rPr>
          <w:rFonts w:asciiTheme="minorHAnsi" w:hAnsiTheme="minorHAnsi" w:cstheme="minorHAnsi"/>
          <w:sz w:val="22"/>
          <w:szCs w:val="22"/>
        </w:rPr>
        <w:t xml:space="preserve">3.07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Pr>
          <w:rFonts w:asciiTheme="minorHAnsi" w:hAnsiTheme="minorHAnsi" w:cstheme="minorHAnsi"/>
          <w:sz w:val="22"/>
          <w:szCs w:val="22"/>
        </w:rPr>
        <w:t>5.14</w:t>
      </w:r>
      <w:r w:rsidR="008126CB" w:rsidRPr="00271C1D">
        <w:rPr>
          <w:rFonts w:asciiTheme="minorHAnsi" w:hAnsiTheme="minorHAnsi" w:cstheme="minorHAnsi"/>
          <w:sz w:val="22"/>
          <w:szCs w:val="22"/>
        </w:rPr>
        <w:t>%).</w:t>
      </w:r>
    </w:p>
    <w:p w14:paraId="0A203B52" w14:textId="77777777" w:rsidR="00F137CB" w:rsidRDefault="00F137CB" w:rsidP="00F137CB">
      <w:pPr>
        <w:rPr>
          <w:rFonts w:asciiTheme="minorHAnsi" w:hAnsiTheme="minorHAnsi" w:cstheme="minorHAnsi"/>
          <w:bCs/>
          <w:sz w:val="22"/>
          <w:szCs w:val="22"/>
        </w:rPr>
      </w:pPr>
    </w:p>
    <w:p w14:paraId="2C457EC3" w14:textId="0615B728" w:rsidR="003B0F58" w:rsidRDefault="006B0322" w:rsidP="00F137CB">
      <w:pPr>
        <w:ind w:left="709"/>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1399FCF0" w14:textId="77777777" w:rsidR="0032191F" w:rsidRDefault="0032191F" w:rsidP="004B0276">
      <w:pPr>
        <w:ind w:left="709"/>
        <w:jc w:val="both"/>
        <w:rPr>
          <w:rFonts w:asciiTheme="minorHAnsi" w:hAnsiTheme="minorHAnsi" w:cstheme="minorHAnsi"/>
          <w:bCs/>
          <w:sz w:val="22"/>
          <w:szCs w:val="22"/>
        </w:rPr>
      </w:pPr>
    </w:p>
    <w:p w14:paraId="17FE2EBF" w14:textId="76FC9D95" w:rsidR="00893772" w:rsidRPr="000D636B" w:rsidRDefault="00893772" w:rsidP="00F73DB7">
      <w:pPr>
        <w:numPr>
          <w:ilvl w:val="0"/>
          <w:numId w:val="11"/>
        </w:numPr>
        <w:ind w:left="927"/>
        <w:jc w:val="both"/>
        <w:rPr>
          <w:rFonts w:asciiTheme="minorHAnsi" w:hAnsiTheme="minorHAnsi" w:cstheme="minorHAnsi"/>
          <w:sz w:val="22"/>
          <w:szCs w:val="22"/>
        </w:rPr>
      </w:pPr>
      <w:r w:rsidRPr="000D636B">
        <w:rPr>
          <w:rFonts w:asciiTheme="minorHAnsi" w:hAnsiTheme="minorHAnsi" w:cstheme="minorHAnsi"/>
          <w:sz w:val="22"/>
          <w:szCs w:val="22"/>
        </w:rPr>
        <w:lastRenderedPageBreak/>
        <w:t xml:space="preserve">La caída de los inventarios de petróleo crudo, diésel </w:t>
      </w:r>
      <w:r w:rsidR="000D636B">
        <w:rPr>
          <w:rFonts w:asciiTheme="minorHAnsi" w:hAnsiTheme="minorHAnsi" w:cstheme="minorHAnsi"/>
          <w:sz w:val="22"/>
          <w:szCs w:val="22"/>
        </w:rPr>
        <w:t>y gasolinas al 23 de julio 2021</w:t>
      </w:r>
      <w:r w:rsidR="000D636B" w:rsidRPr="000D636B">
        <w:rPr>
          <w:rFonts w:asciiTheme="minorHAnsi" w:hAnsiTheme="minorHAnsi" w:cstheme="minorHAnsi"/>
          <w:sz w:val="22"/>
          <w:szCs w:val="22"/>
        </w:rPr>
        <w:t xml:space="preserve">: </w:t>
      </w:r>
      <w:r w:rsidRPr="000D636B">
        <w:rPr>
          <w:rFonts w:asciiTheme="minorHAnsi" w:hAnsiTheme="minorHAnsi" w:cstheme="minorHAnsi"/>
          <w:sz w:val="22"/>
          <w:szCs w:val="22"/>
        </w:rPr>
        <w:t>Los inventarios de petróleo disminuyeron 4.1 millones de barriles. Las existencias de gasolina bajaron 2.2 millones de barriles; mientras los inventarios de destilados, que incluyen al diésel y al combustible para calefacción, disminuyeron 3.1 millones de barriles.</w:t>
      </w:r>
    </w:p>
    <w:p w14:paraId="6AD0E45F" w14:textId="057086A5" w:rsidR="00893772" w:rsidRPr="00F137CB" w:rsidRDefault="00893772" w:rsidP="000D636B">
      <w:pPr>
        <w:pStyle w:val="Prrafodelista"/>
        <w:numPr>
          <w:ilvl w:val="0"/>
          <w:numId w:val="29"/>
        </w:numPr>
        <w:ind w:left="927"/>
        <w:jc w:val="both"/>
        <w:rPr>
          <w:rFonts w:asciiTheme="minorHAnsi" w:hAnsiTheme="minorHAnsi" w:cstheme="minorHAnsi"/>
          <w:sz w:val="22"/>
          <w:szCs w:val="22"/>
        </w:rPr>
      </w:pPr>
      <w:r w:rsidRPr="00F137CB">
        <w:rPr>
          <w:rFonts w:asciiTheme="minorHAnsi" w:hAnsiTheme="minorHAnsi" w:cstheme="minorHAnsi"/>
          <w:sz w:val="22"/>
          <w:szCs w:val="22"/>
        </w:rPr>
        <w:t>El pronóstico de la OPEP de una fuerte recuperación de la demanda mundial de petróleo durante el resto del año 2</w:t>
      </w:r>
      <w:r w:rsidR="000D636B">
        <w:rPr>
          <w:rFonts w:asciiTheme="minorHAnsi" w:hAnsiTheme="minorHAnsi" w:cstheme="minorHAnsi"/>
          <w:sz w:val="22"/>
          <w:szCs w:val="22"/>
        </w:rPr>
        <w:t xml:space="preserve">021, con un crecimiento de </w:t>
      </w:r>
      <w:r w:rsidRPr="00F137CB">
        <w:rPr>
          <w:rFonts w:asciiTheme="minorHAnsi" w:hAnsiTheme="minorHAnsi" w:cstheme="minorHAnsi"/>
          <w:sz w:val="22"/>
          <w:szCs w:val="22"/>
        </w:rPr>
        <w:t>5.95 millones de barriles por día.</w:t>
      </w:r>
    </w:p>
    <w:p w14:paraId="2D46FC87" w14:textId="77777777" w:rsidR="00893772" w:rsidRPr="00893772" w:rsidRDefault="00893772" w:rsidP="000D636B">
      <w:pPr>
        <w:numPr>
          <w:ilvl w:val="0"/>
          <w:numId w:val="28"/>
        </w:numPr>
        <w:ind w:left="927"/>
        <w:jc w:val="both"/>
        <w:rPr>
          <w:rFonts w:asciiTheme="minorHAnsi" w:hAnsiTheme="minorHAnsi" w:cstheme="minorHAnsi"/>
          <w:sz w:val="22"/>
          <w:szCs w:val="22"/>
        </w:rPr>
      </w:pPr>
      <w:r w:rsidRPr="00893772">
        <w:rPr>
          <w:rFonts w:asciiTheme="minorHAnsi" w:hAnsiTheme="minorHAnsi" w:cstheme="minorHAnsi"/>
          <w:sz w:val="22"/>
          <w:szCs w:val="22"/>
        </w:rPr>
        <w:t xml:space="preserve">Las expectativas de los analistas del mercado internacional, quienes sostienen que los precios de los crudos marcadores BRENT y WTI se verán respaldados por la recuperación económica mundial y un retorno más lento de lo esperado de los suministros iraníes. </w:t>
      </w:r>
    </w:p>
    <w:p w14:paraId="40D72118" w14:textId="6686DF7E" w:rsidR="00893772" w:rsidRPr="00893772" w:rsidRDefault="00893772" w:rsidP="000D636B">
      <w:pPr>
        <w:ind w:left="927"/>
        <w:jc w:val="both"/>
        <w:rPr>
          <w:rFonts w:asciiTheme="minorHAnsi" w:hAnsiTheme="minorHAnsi" w:cstheme="minorHAnsi"/>
          <w:sz w:val="22"/>
          <w:szCs w:val="22"/>
        </w:rPr>
      </w:pPr>
      <w:r w:rsidRPr="00893772">
        <w:rPr>
          <w:rFonts w:asciiTheme="minorHAnsi" w:hAnsiTheme="minorHAnsi" w:cstheme="minorHAnsi"/>
          <w:sz w:val="22"/>
          <w:szCs w:val="22"/>
        </w:rPr>
        <w:t>De acuerdo con un sondeo de Reuters, el barril del crudo Brent cotizará cerca de 70 dólares durante el resto del 2021, mientras que el crudo WTI promediaría 67 dólares por barril.</w:t>
      </w:r>
      <w:r w:rsidR="00F137CB">
        <w:rPr>
          <w:rFonts w:asciiTheme="minorHAnsi" w:hAnsiTheme="minorHAnsi" w:cstheme="minorHAnsi"/>
          <w:sz w:val="22"/>
          <w:szCs w:val="22"/>
        </w:rPr>
        <w:t xml:space="preserve"> </w:t>
      </w:r>
      <w:r w:rsidRPr="00893772">
        <w:rPr>
          <w:rFonts w:asciiTheme="minorHAnsi" w:hAnsiTheme="minorHAnsi" w:cstheme="minorHAnsi"/>
          <w:sz w:val="22"/>
          <w:szCs w:val="22"/>
        </w:rPr>
        <w:t>La proyección al alza del precio de los crudos estaría limitada por las nuevas variantes del coronavirus.</w:t>
      </w:r>
    </w:p>
    <w:p w14:paraId="3B64BD19" w14:textId="77777777" w:rsidR="00893772" w:rsidRPr="00893772" w:rsidRDefault="00893772" w:rsidP="000D636B">
      <w:pPr>
        <w:numPr>
          <w:ilvl w:val="0"/>
          <w:numId w:val="11"/>
        </w:numPr>
        <w:ind w:left="851" w:hanging="284"/>
        <w:jc w:val="both"/>
        <w:rPr>
          <w:rFonts w:asciiTheme="minorHAnsi" w:hAnsiTheme="minorHAnsi" w:cstheme="minorHAnsi"/>
          <w:sz w:val="22"/>
          <w:szCs w:val="22"/>
        </w:rPr>
      </w:pPr>
      <w:r w:rsidRPr="00893772">
        <w:rPr>
          <w:rFonts w:asciiTheme="minorHAnsi" w:hAnsiTheme="minorHAnsi" w:cstheme="minorHAnsi"/>
          <w:sz w:val="22"/>
          <w:szCs w:val="22"/>
        </w:rPr>
        <w:t>El último acuerdo de los países miembros de la OPEP; quienes después de intensas negociaciones, pactaron aumentar la producción de crudo en 400,000 barriles por día, desde agosto hasta diciembre del presente año.</w:t>
      </w:r>
    </w:p>
    <w:p w14:paraId="22B73602" w14:textId="77777777" w:rsidR="00893772" w:rsidRPr="00893772" w:rsidRDefault="00893772" w:rsidP="000D636B">
      <w:pPr>
        <w:shd w:val="clear" w:color="auto" w:fill="FFFFFF"/>
        <w:ind w:left="851"/>
        <w:jc w:val="both"/>
        <w:rPr>
          <w:rFonts w:asciiTheme="minorHAnsi" w:hAnsiTheme="minorHAnsi" w:cstheme="minorHAnsi"/>
          <w:sz w:val="22"/>
          <w:szCs w:val="22"/>
        </w:rPr>
      </w:pPr>
      <w:r w:rsidRPr="00893772">
        <w:rPr>
          <w:rFonts w:asciiTheme="minorHAnsi" w:hAnsiTheme="minorHAnsi" w:cstheme="minorHAnsi"/>
          <w:sz w:val="22"/>
          <w:szCs w:val="22"/>
        </w:rPr>
        <w:t>Además, a partir de enero se extenderá durante todo el año 2022, el recorte de producción fijado en abril del año pasado, en 5.8 millones de barriles diarios.</w:t>
      </w:r>
    </w:p>
    <w:p w14:paraId="4BA5604C" w14:textId="77777777" w:rsidR="005E3295" w:rsidRPr="002420A7" w:rsidRDefault="005E3295" w:rsidP="005E3295">
      <w:pPr>
        <w:ind w:left="720"/>
        <w:jc w:val="both"/>
        <w:rPr>
          <w:highlight w:val="yellow"/>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58D0DF06"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4A58BE00" w:rsidR="0064631C" w:rsidRPr="00271C1D"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DE25BD" w:rsidRPr="00271C1D">
        <w:rPr>
          <w:rFonts w:asciiTheme="minorHAnsi" w:hAnsiTheme="minorHAnsi" w:cstheme="minorHAnsi"/>
          <w:sz w:val="22"/>
          <w:szCs w:val="22"/>
        </w:rPr>
        <w:t xml:space="preserve"> </w:t>
      </w:r>
      <w:r w:rsidR="009060FB">
        <w:rPr>
          <w:rFonts w:asciiTheme="minorHAnsi" w:hAnsiTheme="minorHAnsi" w:cstheme="minorHAnsi"/>
          <w:sz w:val="22"/>
          <w:szCs w:val="22"/>
        </w:rPr>
        <w:t>22</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DE25BD" w:rsidRPr="00271C1D">
        <w:rPr>
          <w:rFonts w:asciiTheme="minorHAnsi" w:hAnsiTheme="minorHAnsi" w:cstheme="minorHAnsi"/>
          <w:sz w:val="22"/>
          <w:szCs w:val="22"/>
        </w:rPr>
        <w:t>7</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9060FB">
        <w:rPr>
          <w:rFonts w:asciiTheme="minorHAnsi" w:hAnsiTheme="minorHAnsi" w:cstheme="minorHAnsi"/>
          <w:sz w:val="22"/>
          <w:szCs w:val="22"/>
        </w:rPr>
        <w:t>+</w:t>
      </w:r>
      <w:r w:rsidR="006D53CD">
        <w:rPr>
          <w:rFonts w:asciiTheme="minorHAnsi" w:hAnsiTheme="minorHAnsi" w:cstheme="minorHAnsi"/>
          <w:sz w:val="22"/>
          <w:szCs w:val="22"/>
        </w:rPr>
        <w:t>0.1</w:t>
      </w:r>
      <w:r w:rsidR="009060FB">
        <w:rPr>
          <w:rFonts w:asciiTheme="minorHAnsi" w:hAnsiTheme="minorHAnsi" w:cstheme="minorHAnsi"/>
          <w:sz w:val="22"/>
          <w:szCs w:val="22"/>
        </w:rPr>
        <w:t>3</w:t>
      </w:r>
      <w:r w:rsidR="006D53CD">
        <w:rPr>
          <w:rFonts w:asciiTheme="minorHAnsi" w:hAnsiTheme="minorHAnsi" w:cstheme="minorHAnsi"/>
          <w:sz w:val="22"/>
          <w:szCs w:val="22"/>
        </w:rPr>
        <w:t xml:space="preserve"> 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9060FB">
        <w:rPr>
          <w:rFonts w:asciiTheme="minorHAnsi" w:hAnsiTheme="minorHAnsi" w:cstheme="minorHAnsi"/>
          <w:sz w:val="22"/>
          <w:szCs w:val="22"/>
        </w:rPr>
        <w:t>0.15</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9060FB">
        <w:rPr>
          <w:rFonts w:asciiTheme="minorHAnsi" w:hAnsiTheme="minorHAnsi" w:cstheme="minorHAnsi"/>
          <w:sz w:val="22"/>
          <w:szCs w:val="22"/>
        </w:rPr>
        <w:t>0.19</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w:t>
      </w:r>
      <w:r w:rsidR="009060FB">
        <w:rPr>
          <w:rFonts w:asciiTheme="minorHAnsi" w:hAnsiTheme="minorHAnsi" w:cstheme="minorHAnsi"/>
          <w:sz w:val="22"/>
          <w:szCs w:val="22"/>
        </w:rPr>
        <w:t>0.11</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w:t>
      </w:r>
      <w:r w:rsidR="009060FB">
        <w:rPr>
          <w:rFonts w:asciiTheme="minorHAnsi" w:hAnsiTheme="minorHAnsi" w:cstheme="minorHAnsi"/>
          <w:sz w:val="22"/>
          <w:szCs w:val="22"/>
        </w:rPr>
        <w:t>0.11</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w:t>
      </w:r>
      <w:r w:rsidR="009060FB">
        <w:rPr>
          <w:rFonts w:asciiTheme="minorHAnsi" w:hAnsiTheme="minorHAnsi" w:cstheme="minorHAnsi"/>
          <w:sz w:val="22"/>
          <w:szCs w:val="22"/>
        </w:rPr>
        <w:t>0.11</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w:t>
      </w:r>
      <w:r w:rsidR="009060FB">
        <w:rPr>
          <w:rFonts w:asciiTheme="minorHAnsi" w:hAnsiTheme="minorHAnsi" w:cstheme="minorHAnsi"/>
          <w:sz w:val="22"/>
          <w:szCs w:val="22"/>
        </w:rPr>
        <w:t>0.15</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1B019D" w:rsidRPr="00271C1D">
        <w:rPr>
          <w:rFonts w:asciiTheme="minorHAnsi" w:hAnsiTheme="minorHAnsi" w:cstheme="minorHAnsi"/>
          <w:sz w:val="22"/>
          <w:szCs w:val="22"/>
        </w:rPr>
        <w:t xml:space="preserve"> y</w:t>
      </w:r>
      <w:r w:rsidR="00EF5EA7" w:rsidRPr="00271C1D">
        <w:rPr>
          <w:rFonts w:asciiTheme="minorHAnsi" w:hAnsiTheme="minorHAnsi" w:cstheme="minorHAnsi"/>
          <w:sz w:val="22"/>
          <w:szCs w:val="22"/>
        </w:rPr>
        <w:t xml:space="preserve"> </w:t>
      </w:r>
      <w:r w:rsidR="0029613B" w:rsidRPr="00271C1D">
        <w:rPr>
          <w:rFonts w:asciiTheme="minorHAnsi" w:hAnsiTheme="minorHAnsi" w:cstheme="minorHAnsi"/>
          <w:sz w:val="22"/>
          <w:szCs w:val="22"/>
        </w:rPr>
        <w:t>los residuales R6(+0.</w:t>
      </w:r>
      <w:r w:rsidR="009060FB">
        <w:rPr>
          <w:rFonts w:asciiTheme="minorHAnsi" w:hAnsiTheme="minorHAnsi" w:cstheme="minorHAnsi"/>
          <w:sz w:val="22"/>
          <w:szCs w:val="22"/>
        </w:rPr>
        <w:t>08</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 y R500(+0.</w:t>
      </w:r>
      <w:r w:rsidR="009060FB">
        <w:rPr>
          <w:rFonts w:asciiTheme="minorHAnsi" w:hAnsiTheme="minorHAnsi" w:cstheme="minorHAnsi"/>
          <w:sz w:val="22"/>
          <w:szCs w:val="22"/>
        </w:rPr>
        <w:t>07</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w:t>
      </w:r>
      <w:r w:rsidR="00B16716" w:rsidRPr="00271C1D">
        <w:rPr>
          <w:rFonts w:asciiTheme="minorHAnsi" w:hAnsiTheme="minorHAnsi" w:cstheme="minorHAnsi"/>
          <w:sz w:val="22"/>
          <w:szCs w:val="22"/>
        </w:rPr>
        <w:t>.</w:t>
      </w:r>
    </w:p>
    <w:p w14:paraId="2668FB0F" w14:textId="72B68902"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15DB6592" w14:textId="7ABDF856"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7C5B33DB" w14:textId="0C40B647" w:rsidR="00125BE0" w:rsidRDefault="00125BE0"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A partir del 28 de junio 2021, por Decreto Supremo N°015 – 2021 </w:t>
      </w:r>
      <w:r w:rsidR="007207E7">
        <w:rPr>
          <w:rFonts w:asciiTheme="minorHAnsi" w:hAnsiTheme="minorHAnsi" w:cstheme="minorHAnsi"/>
          <w:sz w:val="22"/>
          <w:szCs w:val="22"/>
        </w:rPr>
        <w:t>–</w:t>
      </w:r>
      <w:r>
        <w:rPr>
          <w:rFonts w:asciiTheme="minorHAnsi" w:hAnsiTheme="minorHAnsi" w:cstheme="minorHAnsi"/>
          <w:sz w:val="22"/>
          <w:szCs w:val="22"/>
        </w:rPr>
        <w:t xml:space="preserve"> EM</w:t>
      </w:r>
      <w:r w:rsidR="007207E7">
        <w:rPr>
          <w:rFonts w:asciiTheme="minorHAnsi" w:hAnsiTheme="minorHAnsi" w:cstheme="minorHAnsi"/>
          <w:sz w:val="22"/>
          <w:szCs w:val="22"/>
        </w:rPr>
        <w:t>,</w:t>
      </w:r>
      <w:r>
        <w:rPr>
          <w:rFonts w:asciiTheme="minorHAnsi" w:hAnsiTheme="minorHAnsi" w:cstheme="minorHAnsi"/>
          <w:sz w:val="22"/>
          <w:szCs w:val="22"/>
        </w:rPr>
        <w:t xml:space="preserve"> entraron en vigencia nuevas medidas para la estabilización de los precios del Diésel BX</w:t>
      </w:r>
      <w:r w:rsidR="007207E7">
        <w:rPr>
          <w:rFonts w:asciiTheme="minorHAnsi" w:hAnsiTheme="minorHAnsi" w:cstheme="minorHAnsi"/>
          <w:sz w:val="22"/>
          <w:szCs w:val="22"/>
        </w:rPr>
        <w:t xml:space="preserve"> de uso vehicular: se modificó </w:t>
      </w:r>
      <w:r w:rsidR="007207E7" w:rsidRPr="007207E7">
        <w:rPr>
          <w:rFonts w:asciiTheme="minorHAnsi" w:hAnsiTheme="minorHAnsi" w:cstheme="minorHAnsi"/>
          <w:sz w:val="22"/>
          <w:szCs w:val="22"/>
        </w:rPr>
        <w:t>la lista de productos afectos al Fondo para la Estabilización de Precios de los Combustibles Derivados del Petróleo y se dictaron las condiciones técnicas para la actualización de la Banda de Precios del Diésel BX.</w:t>
      </w:r>
    </w:p>
    <w:p w14:paraId="20BDE939" w14:textId="119A382D" w:rsidR="004B0276" w:rsidRDefault="004B0276" w:rsidP="002B2639">
      <w:pPr>
        <w:ind w:left="567"/>
        <w:rPr>
          <w:rFonts w:asciiTheme="minorHAnsi" w:hAnsiTheme="minorHAnsi" w:cstheme="minorHAnsi"/>
          <w:sz w:val="22"/>
          <w:szCs w:val="22"/>
        </w:rPr>
      </w:pPr>
      <w:r>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EE7853F" w14:textId="4A45E47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w:t>
      </w:r>
      <w:r>
        <w:rPr>
          <w:rFonts w:asciiTheme="minorHAnsi" w:hAnsiTheme="minorHAnsi" w:cstheme="minorHAnsi"/>
          <w:sz w:val="22"/>
          <w:szCs w:val="22"/>
        </w:rPr>
        <w:t xml:space="preserve"> de los Precios del Petróleo Crudo y Combustibles de la Costa del Golfo en dólares por barril; así como los Precios Relativos de los Combustibles respecto</w:t>
      </w:r>
      <w:r w:rsidRPr="002B3648">
        <w:rPr>
          <w:rFonts w:asciiTheme="minorHAnsi" w:hAnsiTheme="minorHAnsi" w:cstheme="minorHAnsi"/>
          <w:sz w:val="22"/>
          <w:szCs w:val="22"/>
        </w:rPr>
        <w:t xml:space="preserve"> al </w:t>
      </w:r>
      <w:r>
        <w:rPr>
          <w:rFonts w:asciiTheme="minorHAnsi" w:hAnsiTheme="minorHAnsi" w:cstheme="minorHAnsi"/>
          <w:sz w:val="22"/>
          <w:szCs w:val="22"/>
        </w:rPr>
        <w:t xml:space="preserve">Crudo </w:t>
      </w:r>
      <w:r w:rsidRPr="002B3648">
        <w:rPr>
          <w:rFonts w:asciiTheme="minorHAnsi" w:hAnsiTheme="minorHAnsi" w:cstheme="minorHAnsi"/>
          <w:sz w:val="22"/>
          <w:szCs w:val="22"/>
        </w:rPr>
        <w:t xml:space="preserve">WTI. </w:t>
      </w:r>
    </w:p>
    <w:p w14:paraId="7659F347" w14:textId="77777777" w:rsidR="00AC53F6" w:rsidRPr="002B3648" w:rsidRDefault="00AC53F6" w:rsidP="00A611A5">
      <w:pPr>
        <w:ind w:left="284"/>
        <w:jc w:val="both"/>
        <w:rPr>
          <w:rFonts w:asciiTheme="minorHAnsi" w:hAnsiTheme="minorHAnsi" w:cstheme="minorHAnsi"/>
          <w:sz w:val="22"/>
          <w:szCs w:val="22"/>
        </w:rPr>
      </w:pPr>
    </w:p>
    <w:p w14:paraId="12EFCB88" w14:textId="77777777" w:rsidR="00A611A5" w:rsidRPr="002B3648"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Pr="002B3648">
        <w:rPr>
          <w:rStyle w:val="Refdenotaalpie"/>
          <w:rFonts w:asciiTheme="minorHAnsi" w:hAnsiTheme="minorHAnsi" w:cstheme="minorHAnsi"/>
          <w:sz w:val="22"/>
          <w:szCs w:val="22"/>
        </w:rPr>
        <w:footnoteReference w:id="3"/>
      </w:r>
      <w:r w:rsidRPr="002B3648">
        <w:rPr>
          <w:rFonts w:asciiTheme="minorHAnsi" w:hAnsiTheme="minorHAnsi" w:cstheme="minorHAnsi"/>
          <w:sz w:val="22"/>
          <w:szCs w:val="22"/>
        </w:rPr>
        <w:t xml:space="preserve"> se hace con el objeto de mostrar el efecto del precio del petróleo crudo en la formación de precios de los productos y la incidencia de factores exógenos.</w:t>
      </w:r>
    </w:p>
    <w:p w14:paraId="5F03BE86" w14:textId="77777777" w:rsidR="00A611A5" w:rsidRPr="002B3648" w:rsidRDefault="00A611A5" w:rsidP="00A611A5">
      <w:pPr>
        <w:ind w:left="540"/>
        <w:jc w:val="both"/>
        <w:rPr>
          <w:rFonts w:asciiTheme="minorHAnsi" w:hAnsiTheme="minorHAnsi" w:cstheme="minorHAnsi"/>
          <w:sz w:val="22"/>
          <w:szCs w:val="22"/>
        </w:rPr>
      </w:pPr>
    </w:p>
    <w:p w14:paraId="2DB0F27F" w14:textId="30536935" w:rsidR="00A611A5" w:rsidRPr="002B3648" w:rsidRDefault="00A611A5" w:rsidP="00A611A5">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1916A4">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sidR="00D45277">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sidR="001916A4">
        <w:rPr>
          <w:rFonts w:asciiTheme="minorHAnsi" w:hAnsiTheme="minorHAnsi" w:cstheme="minorHAnsi"/>
          <w:i/>
          <w:sz w:val="20"/>
          <w:szCs w:val="20"/>
        </w:rPr>
        <w:t>ustibles en la Costa del Golfo de EE.UU.</w:t>
      </w:r>
    </w:p>
    <w:p w14:paraId="5A881DEC" w14:textId="090FB92C" w:rsidR="00A611A5" w:rsidRPr="002B3648" w:rsidRDefault="00D63047" w:rsidP="00A611A5">
      <w:pPr>
        <w:pBdr>
          <w:top w:val="single" w:sz="4" w:space="1" w:color="auto"/>
          <w:bottom w:val="single" w:sz="4" w:space="1" w:color="auto"/>
        </w:pBdr>
        <w:ind w:left="284"/>
        <w:jc w:val="both"/>
        <w:rPr>
          <w:rFonts w:asciiTheme="minorHAnsi" w:hAnsiTheme="minorHAnsi" w:cstheme="minorHAnsi"/>
          <w:sz w:val="22"/>
          <w:szCs w:val="22"/>
        </w:rPr>
      </w:pPr>
      <w:r w:rsidRPr="00D63047">
        <w:rPr>
          <w:noProof/>
          <w:lang w:val="es-PE" w:eastAsia="es-PE"/>
        </w:rPr>
        <w:drawing>
          <wp:inline distT="0" distB="0" distL="0" distR="0" wp14:anchorId="1A4C0200" wp14:editId="444CFC0B">
            <wp:extent cx="5347970" cy="3253563"/>
            <wp:effectExtent l="0" t="0" r="508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7178" cy="3259165"/>
                    </a:xfrm>
                    <a:prstGeom prst="rect">
                      <a:avLst/>
                    </a:prstGeom>
                    <a:noFill/>
                    <a:ln>
                      <a:noFill/>
                    </a:ln>
                  </pic:spPr>
                </pic:pic>
              </a:graphicData>
            </a:graphic>
          </wp:inline>
        </w:drawing>
      </w:r>
    </w:p>
    <w:p w14:paraId="5239FD90" w14:textId="7256DD89" w:rsidR="00A611A5" w:rsidRDefault="00A611A5" w:rsidP="00A611A5">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proofErr w:type="gramStart"/>
      <w:r>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proofErr w:type="gramEnd"/>
      <w:r w:rsidRPr="002B3648">
        <w:rPr>
          <w:rFonts w:asciiTheme="minorHAnsi" w:hAnsiTheme="minorHAnsi" w:cstheme="minorHAnsi"/>
          <w:i/>
          <w:sz w:val="20"/>
          <w:szCs w:val="20"/>
        </w:rPr>
        <w:t>: Propia</w:t>
      </w:r>
    </w:p>
    <w:p w14:paraId="4271A427" w14:textId="77777777" w:rsidR="00D63047" w:rsidRDefault="00D63047" w:rsidP="00A611A5">
      <w:pPr>
        <w:rPr>
          <w:rFonts w:asciiTheme="minorHAnsi" w:hAnsiTheme="minorHAnsi" w:cstheme="minorHAnsi"/>
          <w:sz w:val="22"/>
          <w:szCs w:val="22"/>
        </w:rPr>
      </w:pPr>
    </w:p>
    <w:p w14:paraId="03A658BF" w14:textId="77777777" w:rsidR="00D63047" w:rsidRDefault="00D63047" w:rsidP="00D63047">
      <w:pPr>
        <w:jc w:val="both"/>
        <w:rPr>
          <w:rFonts w:asciiTheme="minorHAnsi" w:hAnsiTheme="minorHAnsi" w:cstheme="minorHAnsi"/>
          <w:sz w:val="22"/>
          <w:szCs w:val="22"/>
        </w:rPr>
      </w:pPr>
    </w:p>
    <w:p w14:paraId="64DF8741" w14:textId="18E536D9" w:rsidR="00D63047"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Según se observa en</w:t>
      </w:r>
      <w:r w:rsidR="00D63047">
        <w:rPr>
          <w:rFonts w:asciiTheme="minorHAnsi" w:hAnsiTheme="minorHAnsi" w:cstheme="minorHAnsi"/>
          <w:sz w:val="22"/>
          <w:szCs w:val="22"/>
        </w:rPr>
        <w:t xml:space="preserve"> la Gráfica N°</w:t>
      </w:r>
      <w:r>
        <w:rPr>
          <w:rFonts w:asciiTheme="minorHAnsi" w:hAnsiTheme="minorHAnsi" w:cstheme="minorHAnsi"/>
          <w:sz w:val="22"/>
          <w:szCs w:val="22"/>
        </w:rPr>
        <w:t>1;</w:t>
      </w:r>
      <w:r w:rsidR="00D63047">
        <w:rPr>
          <w:rFonts w:asciiTheme="minorHAnsi" w:hAnsiTheme="minorHAnsi" w:cstheme="minorHAnsi"/>
          <w:sz w:val="22"/>
          <w:szCs w:val="22"/>
        </w:rPr>
        <w:t xml:space="preserve"> a partir de enero 2021, los precios del </w:t>
      </w:r>
      <w:r>
        <w:rPr>
          <w:rFonts w:asciiTheme="minorHAnsi" w:hAnsiTheme="minorHAnsi" w:cstheme="minorHAnsi"/>
          <w:sz w:val="22"/>
          <w:szCs w:val="22"/>
        </w:rPr>
        <w:t xml:space="preserve">petróleo </w:t>
      </w:r>
      <w:r w:rsidR="00D63047">
        <w:rPr>
          <w:rFonts w:asciiTheme="minorHAnsi" w:hAnsiTheme="minorHAnsi" w:cstheme="minorHAnsi"/>
          <w:sz w:val="22"/>
          <w:szCs w:val="22"/>
        </w:rPr>
        <w:t>crudo y combustibles comenzaron a recuperarse, luego de la crisis generada por la pandemia del Coronavirus</w:t>
      </w:r>
      <w:r w:rsidR="008A5C7D">
        <w:rPr>
          <w:rFonts w:asciiTheme="minorHAnsi" w:hAnsiTheme="minorHAnsi" w:cstheme="minorHAnsi"/>
          <w:sz w:val="22"/>
          <w:szCs w:val="22"/>
        </w:rPr>
        <w:t xml:space="preserve"> en el año 2020</w:t>
      </w:r>
      <w:r w:rsidR="00D63047">
        <w:rPr>
          <w:rFonts w:asciiTheme="minorHAnsi" w:hAnsiTheme="minorHAnsi" w:cstheme="minorHAnsi"/>
          <w:sz w:val="22"/>
          <w:szCs w:val="22"/>
        </w:rPr>
        <w:t>, registrando al cierre de julio 2021, una tendencia ascendente.</w:t>
      </w:r>
    </w:p>
    <w:p w14:paraId="5C990A83" w14:textId="77777777" w:rsidR="00415238" w:rsidRDefault="00415238" w:rsidP="00AC53F6">
      <w:pPr>
        <w:ind w:left="284"/>
        <w:jc w:val="both"/>
        <w:rPr>
          <w:rFonts w:asciiTheme="minorHAnsi" w:hAnsiTheme="minorHAnsi" w:cstheme="minorHAnsi"/>
          <w:sz w:val="22"/>
          <w:szCs w:val="22"/>
        </w:rPr>
      </w:pPr>
    </w:p>
    <w:p w14:paraId="31542AA1" w14:textId="7EAAB818" w:rsidR="009F416E"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En el presente año, el precio del crudo</w:t>
      </w:r>
      <w:r w:rsidR="00415238">
        <w:rPr>
          <w:rFonts w:asciiTheme="minorHAnsi" w:hAnsiTheme="minorHAnsi" w:cstheme="minorHAnsi"/>
          <w:sz w:val="22"/>
          <w:szCs w:val="22"/>
        </w:rPr>
        <w:t xml:space="preserve"> llegó a ubicarse</w:t>
      </w:r>
      <w:r w:rsidR="008A5C7D">
        <w:rPr>
          <w:rFonts w:asciiTheme="minorHAnsi" w:hAnsiTheme="minorHAnsi" w:cstheme="minorHAnsi"/>
          <w:sz w:val="22"/>
          <w:szCs w:val="22"/>
        </w:rPr>
        <w:t xml:space="preserve"> en </w:t>
      </w:r>
      <w:r w:rsidR="000A6597">
        <w:rPr>
          <w:rFonts w:asciiTheme="minorHAnsi" w:hAnsiTheme="minorHAnsi" w:cstheme="minorHAnsi"/>
          <w:sz w:val="22"/>
          <w:szCs w:val="22"/>
        </w:rPr>
        <w:t>un nivel máximo de 75.25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xml:space="preserve">, las gasolinas </w:t>
      </w:r>
      <w:r w:rsidR="00415238">
        <w:rPr>
          <w:rFonts w:asciiTheme="minorHAnsi" w:hAnsiTheme="minorHAnsi" w:cstheme="minorHAnsi"/>
          <w:sz w:val="22"/>
          <w:szCs w:val="22"/>
        </w:rPr>
        <w:t>alcanzaron</w:t>
      </w:r>
      <w:r w:rsidR="000A6597">
        <w:rPr>
          <w:rFonts w:asciiTheme="minorHAnsi" w:hAnsiTheme="minorHAnsi" w:cstheme="minorHAnsi"/>
          <w:sz w:val="22"/>
          <w:szCs w:val="22"/>
        </w:rPr>
        <w:t xml:space="preserve"> niveles superiores a los 95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mientras que los destilados medios</w:t>
      </w:r>
      <w:r w:rsidR="00415238">
        <w:rPr>
          <w:rFonts w:asciiTheme="minorHAnsi" w:hAnsiTheme="minorHAnsi" w:cstheme="minorHAnsi"/>
          <w:sz w:val="22"/>
          <w:szCs w:val="22"/>
        </w:rPr>
        <w:t xml:space="preserve"> registraron</w:t>
      </w:r>
      <w:r w:rsidR="000A6597">
        <w:rPr>
          <w:rFonts w:asciiTheme="minorHAnsi" w:hAnsiTheme="minorHAnsi" w:cstheme="minorHAnsi"/>
          <w:sz w:val="22"/>
          <w:szCs w:val="22"/>
        </w:rPr>
        <w:t xml:space="preserve"> cotizaciones por encima de los 82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w:t>
      </w:r>
    </w:p>
    <w:p w14:paraId="31C36CF8" w14:textId="77777777" w:rsidR="00D63047" w:rsidRDefault="00D63047" w:rsidP="00AC53F6">
      <w:pPr>
        <w:ind w:left="284"/>
        <w:rPr>
          <w:rFonts w:asciiTheme="minorHAnsi" w:hAnsiTheme="minorHAnsi" w:cstheme="minorHAnsi"/>
          <w:sz w:val="22"/>
          <w:szCs w:val="22"/>
        </w:rPr>
      </w:pPr>
    </w:p>
    <w:p w14:paraId="1F22588B" w14:textId="7037CFF6" w:rsidR="00D63047" w:rsidRDefault="00D63047">
      <w:pPr>
        <w:rPr>
          <w:rFonts w:asciiTheme="minorHAnsi" w:hAnsiTheme="minorHAnsi" w:cstheme="minorHAnsi"/>
          <w:sz w:val="22"/>
          <w:szCs w:val="22"/>
        </w:rPr>
      </w:pPr>
      <w:r>
        <w:rPr>
          <w:rFonts w:asciiTheme="minorHAnsi" w:hAnsiTheme="minorHAnsi" w:cstheme="minorHAnsi"/>
          <w:sz w:val="22"/>
          <w:szCs w:val="22"/>
        </w:rPr>
        <w:br w:type="page"/>
      </w:r>
    </w:p>
    <w:p w14:paraId="2B43DAAF" w14:textId="7613CB5E" w:rsidR="00A611A5" w:rsidRPr="002B3648" w:rsidRDefault="00A611A5" w:rsidP="00A611A5">
      <w:pPr>
        <w:ind w:left="426"/>
        <w:jc w:val="both"/>
        <w:rPr>
          <w:rFonts w:asciiTheme="minorHAnsi" w:hAnsiTheme="minorHAnsi" w:cstheme="minorHAnsi"/>
          <w:i/>
          <w:sz w:val="20"/>
          <w:szCs w:val="20"/>
        </w:rPr>
      </w:pPr>
      <w:r>
        <w:rPr>
          <w:rFonts w:asciiTheme="minorHAnsi" w:hAnsiTheme="minorHAnsi" w:cstheme="minorHAnsi"/>
          <w:b/>
          <w:i/>
          <w:sz w:val="20"/>
          <w:szCs w:val="20"/>
        </w:rPr>
        <w:lastRenderedPageBreak/>
        <w:t>GRÁFICA N° 2</w:t>
      </w:r>
      <w:r w:rsidRPr="002B3648">
        <w:rPr>
          <w:rFonts w:asciiTheme="minorHAnsi" w:hAnsiTheme="minorHAnsi" w:cstheme="minorHAnsi"/>
          <w:i/>
          <w:sz w:val="20"/>
          <w:szCs w:val="20"/>
        </w:rPr>
        <w:t>: Precios Relativos de los Combustibles en USGC respecto al WTI</w:t>
      </w:r>
    </w:p>
    <w:p w14:paraId="65292AF6" w14:textId="6C506185" w:rsidR="00A611A5" w:rsidRPr="002B3648" w:rsidRDefault="00382602" w:rsidP="00A611A5">
      <w:pPr>
        <w:pBdr>
          <w:top w:val="single" w:sz="4" w:space="1" w:color="auto"/>
          <w:bottom w:val="single" w:sz="4" w:space="1" w:color="auto"/>
        </w:pBdr>
        <w:ind w:left="426"/>
        <w:jc w:val="both"/>
        <w:rPr>
          <w:rFonts w:asciiTheme="minorHAnsi" w:hAnsiTheme="minorHAnsi" w:cstheme="minorHAnsi"/>
          <w:sz w:val="20"/>
          <w:szCs w:val="20"/>
        </w:rPr>
      </w:pPr>
      <w:r w:rsidRPr="00382602">
        <w:rPr>
          <w:noProof/>
          <w:lang w:val="es-PE" w:eastAsia="es-PE"/>
        </w:rPr>
        <w:drawing>
          <wp:inline distT="0" distB="0" distL="0" distR="0" wp14:anchorId="4F5BF88C" wp14:editId="50E890F9">
            <wp:extent cx="5240645" cy="3574473"/>
            <wp:effectExtent l="0" t="0" r="0" b="698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3866" cy="3583490"/>
                    </a:xfrm>
                    <a:prstGeom prst="rect">
                      <a:avLst/>
                    </a:prstGeom>
                    <a:noFill/>
                    <a:ln>
                      <a:noFill/>
                    </a:ln>
                  </pic:spPr>
                </pic:pic>
              </a:graphicData>
            </a:graphic>
          </wp:inline>
        </w:drawing>
      </w:r>
    </w:p>
    <w:p w14:paraId="776212D4" w14:textId="77777777" w:rsidR="00A611A5" w:rsidRPr="002B3648" w:rsidRDefault="00A611A5" w:rsidP="00A611A5">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34E8536" w14:textId="08794BB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i/>
        </w:rPr>
        <w:br w:type="page"/>
      </w:r>
    </w:p>
    <w:p w14:paraId="0DE4982E" w14:textId="089F342C" w:rsidR="00AF270F" w:rsidRPr="00EE39E2" w:rsidRDefault="00AF270F"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7DBC24F7" w:rsidR="00AF270F" w:rsidRPr="002B3648" w:rsidRDefault="00F27BD1" w:rsidP="00222F9D">
      <w:pPr>
        <w:ind w:left="1134" w:right="-567"/>
        <w:rPr>
          <w:rFonts w:asciiTheme="minorHAnsi" w:hAnsiTheme="minorHAnsi" w:cstheme="minorHAnsi"/>
        </w:rPr>
      </w:pPr>
      <w:r>
        <w:rPr>
          <w:rFonts w:asciiTheme="minorHAnsi" w:hAnsiTheme="minorHAnsi" w:cstheme="minorHAnsi"/>
          <w:b/>
          <w:i/>
          <w:sz w:val="20"/>
          <w:szCs w:val="20"/>
        </w:rPr>
        <w:t>TABLA N° 1</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0F66578A" w:rsidR="00F72B85" w:rsidRPr="002B3648" w:rsidRDefault="00BD0326" w:rsidP="00222F9D">
            <w:pPr>
              <w:ind w:left="-618" w:right="-654"/>
              <w:jc w:val="center"/>
              <w:rPr>
                <w:rFonts w:asciiTheme="minorHAnsi" w:hAnsiTheme="minorHAnsi" w:cstheme="minorHAnsi"/>
              </w:rPr>
            </w:pPr>
            <w:r w:rsidRPr="00BD0326">
              <w:rPr>
                <w:rFonts w:asciiTheme="minorHAnsi" w:hAnsiTheme="minorHAnsi" w:cstheme="minorHAnsi"/>
                <w:noProof/>
                <w:lang w:val="es-PE" w:eastAsia="es-PE"/>
              </w:rPr>
              <w:drawing>
                <wp:inline distT="0" distB="0" distL="0" distR="0" wp14:anchorId="45B60355" wp14:editId="68A5F68A">
                  <wp:extent cx="3584137" cy="3636645"/>
                  <wp:effectExtent l="0" t="0" r="0" b="190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5560" cy="3638089"/>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721CA688"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F27BD1">
        <w:rPr>
          <w:rFonts w:asciiTheme="minorHAnsi" w:hAnsiTheme="minorHAnsi" w:cstheme="minorHAnsi"/>
          <w:b/>
          <w:i/>
          <w:sz w:val="20"/>
          <w:szCs w:val="20"/>
        </w:rPr>
        <w:t>FICA N°3</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E1305F">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6696282C" w:rsidR="00712D3B" w:rsidRPr="002B3648" w:rsidRDefault="007F701B" w:rsidP="004F3957">
            <w:pPr>
              <w:ind w:left="-634" w:right="-654"/>
              <w:jc w:val="center"/>
              <w:rPr>
                <w:rFonts w:asciiTheme="minorHAnsi" w:hAnsiTheme="minorHAnsi" w:cstheme="minorHAnsi"/>
              </w:rPr>
            </w:pPr>
            <w:r w:rsidRPr="007F701B">
              <w:rPr>
                <w:rFonts w:asciiTheme="minorHAnsi" w:hAnsiTheme="minorHAnsi" w:cstheme="minorHAnsi"/>
                <w:noProof/>
                <w:lang w:val="es-PE" w:eastAsia="es-PE"/>
              </w:rPr>
              <w:drawing>
                <wp:inline distT="0" distB="0" distL="0" distR="0" wp14:anchorId="4B99946C" wp14:editId="7DB67F11">
                  <wp:extent cx="5534971" cy="2275368"/>
                  <wp:effectExtent l="0" t="0" r="889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6674" cy="2288401"/>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76BA4877"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7345C6">
        <w:rPr>
          <w:rFonts w:asciiTheme="minorHAnsi" w:hAnsiTheme="minorHAnsi" w:cstheme="minorHAnsi"/>
          <w:sz w:val="22"/>
          <w:szCs w:val="22"/>
        </w:rPr>
        <w:t>aument</w:t>
      </w:r>
      <w:r w:rsidR="009E6378">
        <w:rPr>
          <w:rFonts w:asciiTheme="minorHAnsi" w:hAnsiTheme="minorHAnsi" w:cstheme="minorHAnsi"/>
          <w:sz w:val="22"/>
          <w:szCs w:val="22"/>
        </w:rPr>
        <w:t xml:space="preserve">ó </w:t>
      </w:r>
      <w:r w:rsidR="007345C6">
        <w:rPr>
          <w:rFonts w:asciiTheme="minorHAnsi" w:hAnsiTheme="minorHAnsi" w:cstheme="minorHAnsi"/>
          <w:sz w:val="22"/>
          <w:szCs w:val="22"/>
        </w:rPr>
        <w:t>0.72</w:t>
      </w:r>
      <w:r>
        <w:rPr>
          <w:rFonts w:asciiTheme="minorHAnsi" w:hAnsiTheme="minorHAnsi" w:cstheme="minorHAnsi"/>
          <w:sz w:val="22"/>
          <w:szCs w:val="22"/>
        </w:rPr>
        <w:t>%.</w:t>
      </w:r>
    </w:p>
    <w:p w14:paraId="0B0CF897" w14:textId="40E0A5D8"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7345C6">
        <w:rPr>
          <w:rFonts w:asciiTheme="minorHAnsi" w:hAnsiTheme="minorHAnsi" w:cstheme="minorHAnsi"/>
          <w:sz w:val="22"/>
          <w:szCs w:val="22"/>
        </w:rPr>
        <w:t>no registró variaciones</w:t>
      </w:r>
      <w:r>
        <w:rPr>
          <w:rFonts w:asciiTheme="minorHAnsi" w:hAnsiTheme="minorHAnsi" w:cstheme="minorHAnsi"/>
          <w:sz w:val="22"/>
          <w:szCs w:val="22"/>
        </w:rPr>
        <w:t>.</w:t>
      </w:r>
    </w:p>
    <w:p w14:paraId="0BA97B2C" w14:textId="233CA216"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7345C6">
        <w:rPr>
          <w:rFonts w:asciiTheme="minorHAnsi" w:hAnsiTheme="minorHAnsi" w:cstheme="minorHAnsi"/>
          <w:sz w:val="22"/>
          <w:szCs w:val="22"/>
        </w:rPr>
        <w:t>aument</w:t>
      </w:r>
      <w:r w:rsidR="009D3BA1">
        <w:rPr>
          <w:rFonts w:asciiTheme="minorHAnsi" w:hAnsiTheme="minorHAnsi" w:cstheme="minorHAnsi"/>
          <w:sz w:val="22"/>
          <w:szCs w:val="22"/>
        </w:rPr>
        <w:t xml:space="preserve">ó </w:t>
      </w:r>
      <w:r w:rsidR="007345C6">
        <w:rPr>
          <w:rFonts w:asciiTheme="minorHAnsi" w:hAnsiTheme="minorHAnsi" w:cstheme="minorHAnsi"/>
          <w:sz w:val="22"/>
          <w:szCs w:val="22"/>
        </w:rPr>
        <w:t>0.34</w:t>
      </w:r>
      <w:r w:rsidR="00A74718">
        <w:rPr>
          <w:rFonts w:asciiTheme="minorHAnsi" w:hAnsiTheme="minorHAnsi" w:cstheme="minorHAnsi"/>
          <w:sz w:val="22"/>
          <w:szCs w:val="22"/>
        </w:rPr>
        <w:t xml:space="preserve"> </w:t>
      </w:r>
      <w:r w:rsidR="009D3BA1">
        <w:rPr>
          <w:rFonts w:asciiTheme="minorHAnsi" w:hAnsiTheme="minorHAnsi" w:cstheme="minorHAnsi"/>
          <w:sz w:val="22"/>
          <w:szCs w:val="22"/>
        </w:rPr>
        <w:t>%</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7345C6">
        <w:rPr>
          <w:rFonts w:asciiTheme="minorHAnsi" w:hAnsiTheme="minorHAnsi" w:cstheme="minorHAnsi"/>
          <w:sz w:val="22"/>
          <w:szCs w:val="22"/>
        </w:rPr>
        <w:t>subió</w:t>
      </w:r>
      <w:r w:rsidR="00BA139F">
        <w:rPr>
          <w:rFonts w:asciiTheme="minorHAnsi" w:hAnsiTheme="minorHAnsi" w:cstheme="minorHAnsi"/>
          <w:sz w:val="22"/>
          <w:szCs w:val="22"/>
        </w:rPr>
        <w:t xml:space="preserve"> </w:t>
      </w:r>
      <w:r w:rsidR="007345C6">
        <w:rPr>
          <w:rFonts w:asciiTheme="minorHAnsi" w:hAnsiTheme="minorHAnsi" w:cstheme="minorHAnsi"/>
          <w:sz w:val="22"/>
          <w:szCs w:val="22"/>
        </w:rPr>
        <w:t>0.38</w:t>
      </w:r>
      <w:r>
        <w:rPr>
          <w:rFonts w:asciiTheme="minorHAnsi" w:hAnsiTheme="minorHAnsi" w:cstheme="minorHAnsi"/>
          <w:sz w:val="22"/>
          <w:szCs w:val="22"/>
        </w:rPr>
        <w:t>%.</w:t>
      </w:r>
    </w:p>
    <w:p w14:paraId="7FE6F0F1" w14:textId="2A70870E"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7345C6">
        <w:rPr>
          <w:rFonts w:asciiTheme="minorHAnsi" w:hAnsiTheme="minorHAnsi" w:cstheme="minorHAnsi"/>
          <w:sz w:val="22"/>
          <w:szCs w:val="22"/>
        </w:rPr>
        <w:t>aumentaron 0.47</w:t>
      </w:r>
      <w:r>
        <w:rPr>
          <w:rFonts w:asciiTheme="minorHAnsi" w:hAnsiTheme="minorHAnsi" w:cstheme="minorHAnsi"/>
          <w:sz w:val="22"/>
          <w:szCs w:val="22"/>
        </w:rPr>
        <w:t xml:space="preserve">% </w:t>
      </w:r>
      <w:r w:rsidR="007345C6">
        <w:rPr>
          <w:rFonts w:asciiTheme="minorHAnsi" w:hAnsiTheme="minorHAnsi" w:cstheme="minorHAnsi"/>
          <w:sz w:val="22"/>
          <w:szCs w:val="22"/>
        </w:rPr>
        <w:t>cada uno</w:t>
      </w:r>
      <w:r>
        <w:rPr>
          <w:rFonts w:asciiTheme="minorHAnsi" w:hAnsiTheme="minorHAnsi" w:cstheme="minorHAnsi"/>
          <w:sz w:val="22"/>
          <w:szCs w:val="22"/>
        </w:rPr>
        <w:t>.</w:t>
      </w:r>
    </w:p>
    <w:p w14:paraId="0B1CD942" w14:textId="74040E94"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 xml:space="preserve">tanol) </w:t>
      </w:r>
      <w:r w:rsidR="007345C6">
        <w:rPr>
          <w:rFonts w:asciiTheme="minorHAnsi" w:hAnsiTheme="minorHAnsi" w:cstheme="minorHAnsi"/>
          <w:sz w:val="22"/>
          <w:szCs w:val="22"/>
        </w:rPr>
        <w:t>no registró variaciones</w:t>
      </w:r>
      <w:r>
        <w:rPr>
          <w:rFonts w:asciiTheme="minorHAnsi" w:hAnsiTheme="minorHAnsi" w:cstheme="minorHAnsi"/>
          <w:sz w:val="22"/>
          <w:szCs w:val="22"/>
        </w:rPr>
        <w:t xml:space="preserve">, en tanto el Biodiesel B100 </w:t>
      </w:r>
      <w:r w:rsidR="002A3A31">
        <w:rPr>
          <w:rFonts w:asciiTheme="minorHAnsi" w:hAnsiTheme="minorHAnsi" w:cstheme="minorHAnsi"/>
          <w:sz w:val="22"/>
          <w:szCs w:val="22"/>
        </w:rPr>
        <w:t>aument</w:t>
      </w:r>
      <w:r>
        <w:rPr>
          <w:rFonts w:asciiTheme="minorHAnsi" w:hAnsiTheme="minorHAnsi" w:cstheme="minorHAnsi"/>
          <w:sz w:val="22"/>
          <w:szCs w:val="22"/>
        </w:rPr>
        <w:t xml:space="preserve">ó </w:t>
      </w:r>
      <w:r w:rsidR="00D53A27">
        <w:rPr>
          <w:rFonts w:asciiTheme="minorHAnsi" w:hAnsiTheme="minorHAnsi" w:cstheme="minorHAnsi"/>
          <w:sz w:val="22"/>
          <w:szCs w:val="22"/>
        </w:rPr>
        <w:t>1.</w:t>
      </w:r>
      <w:r w:rsidR="007F701B">
        <w:rPr>
          <w:rFonts w:asciiTheme="minorHAnsi" w:hAnsiTheme="minorHAnsi" w:cstheme="minorHAnsi"/>
          <w:sz w:val="22"/>
          <w:szCs w:val="22"/>
        </w:rPr>
        <w:t>0</w:t>
      </w:r>
      <w:r w:rsidR="00D53A27">
        <w:rPr>
          <w:rFonts w:asciiTheme="minorHAnsi" w:hAnsiTheme="minorHAnsi" w:cstheme="minorHAnsi"/>
          <w:sz w:val="22"/>
          <w:szCs w:val="22"/>
        </w:rPr>
        <w:t>4</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11C2A4C0"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Para el mes v</w:t>
      </w:r>
      <w:r w:rsidR="00E82625">
        <w:rPr>
          <w:rFonts w:asciiTheme="minorHAnsi" w:hAnsiTheme="minorHAnsi" w:cstheme="minorHAnsi"/>
          <w:sz w:val="22"/>
          <w:szCs w:val="22"/>
        </w:rPr>
        <w:t>igente, el valor de ajuste del Dié</w:t>
      </w:r>
      <w:r w:rsidRPr="002B3648">
        <w:rPr>
          <w:rFonts w:asciiTheme="minorHAnsi" w:hAnsiTheme="minorHAnsi" w:cstheme="minorHAnsi"/>
          <w:sz w:val="22"/>
          <w:szCs w:val="22"/>
        </w:rPr>
        <w:t xml:space="preserve">sel 2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xml:space="preserve"> es igual a 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22D94097" w:rsidR="004F74EE" w:rsidRPr="004F74EE" w:rsidRDefault="00F27BD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N°2</w:t>
      </w:r>
    </w:p>
    <w:p w14:paraId="11B5876E" w14:textId="100EF7D6" w:rsidR="004F74EE" w:rsidRDefault="001D318D" w:rsidP="004F74EE">
      <w:pPr>
        <w:pBdr>
          <w:top w:val="single" w:sz="4" w:space="1" w:color="auto"/>
          <w:bottom w:val="single" w:sz="4" w:space="1" w:color="auto"/>
        </w:pBdr>
        <w:jc w:val="center"/>
        <w:rPr>
          <w:rFonts w:ascii="Calibri" w:hAnsi="Calibri" w:cs="Calibri"/>
          <w:sz w:val="22"/>
          <w:szCs w:val="22"/>
          <w:lang w:val="es-PE" w:eastAsia="en-US"/>
        </w:rPr>
      </w:pPr>
      <w:r w:rsidRPr="001D318D">
        <w:rPr>
          <w:noProof/>
          <w:lang w:val="es-PE" w:eastAsia="es-PE"/>
        </w:rPr>
        <w:drawing>
          <wp:inline distT="0" distB="0" distL="0" distR="0" wp14:anchorId="72172DE6" wp14:editId="1AAB7BEF">
            <wp:extent cx="8173085" cy="2991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91485"/>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7354F2D2" w:rsidR="000A6BC2" w:rsidRPr="00737F8F" w:rsidRDefault="001D318D"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1D318D">
        <w:rPr>
          <w:noProof/>
          <w:lang w:val="es-PE" w:eastAsia="es-PE"/>
        </w:rPr>
        <w:drawing>
          <wp:inline distT="0" distB="0" distL="0" distR="0" wp14:anchorId="0832C4D4" wp14:editId="7F69CD21">
            <wp:extent cx="5638800" cy="2479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247904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F2F843F" w:rsidR="001F2B99" w:rsidRDefault="00F27BD1"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Nº4</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1C1AC30A" w:rsidR="005C4A97" w:rsidRDefault="008D5C22" w:rsidP="008360C7">
      <w:pPr>
        <w:spacing w:line="0" w:lineRule="atLeast"/>
        <w:ind w:left="284" w:right="-567"/>
        <w:jc w:val="both"/>
        <w:rPr>
          <w:rFonts w:asciiTheme="minorHAnsi" w:hAnsiTheme="minorHAnsi" w:cstheme="minorHAnsi"/>
          <w:i/>
          <w:sz w:val="18"/>
          <w:szCs w:val="18"/>
        </w:rPr>
      </w:pPr>
      <w:r w:rsidRPr="008D5C22">
        <w:rPr>
          <w:noProof/>
          <w:lang w:val="es-PE" w:eastAsia="es-PE"/>
        </w:rPr>
        <w:drawing>
          <wp:inline distT="0" distB="0" distL="0" distR="0" wp14:anchorId="48C8524C" wp14:editId="2793C441">
            <wp:extent cx="5915025" cy="213981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4697" cy="2157784"/>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Pr>
          <w:rFonts w:asciiTheme="minorHAnsi" w:hAnsiTheme="minorHAnsi" w:cstheme="minorHAnsi"/>
          <w:b/>
          <w:i/>
          <w:sz w:val="18"/>
          <w:szCs w:val="18"/>
        </w:rPr>
        <w:lastRenderedPageBreak/>
        <w:t>GRAFICA Nº5</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288832FF" w14:textId="2D5A3775" w:rsidR="007B04A3" w:rsidRDefault="008222A8" w:rsidP="00E87904">
      <w:pPr>
        <w:ind w:left="-284"/>
        <w:rPr>
          <w:rFonts w:asciiTheme="minorHAnsi" w:hAnsiTheme="minorHAnsi" w:cstheme="minorHAnsi"/>
          <w:i/>
          <w:sz w:val="18"/>
          <w:szCs w:val="18"/>
        </w:rPr>
      </w:pPr>
      <w:r w:rsidRPr="008222A8">
        <w:rPr>
          <w:noProof/>
          <w:lang w:val="es-PE" w:eastAsia="es-PE"/>
        </w:rPr>
        <w:drawing>
          <wp:inline distT="0" distB="0" distL="0" distR="0" wp14:anchorId="08A651AB" wp14:editId="3D608174">
            <wp:extent cx="6258921" cy="5498275"/>
            <wp:effectExtent l="0" t="0" r="8890" b="762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65926" cy="5504428"/>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3C773CC4" w:rsidR="00496869" w:rsidRDefault="00F27BD1" w:rsidP="00496869">
      <w:pPr>
        <w:jc w:val="both"/>
        <w:rPr>
          <w:rFonts w:ascii="Calibri" w:hAnsi="Calibri" w:cs="Arial"/>
          <w:b/>
          <w:bCs/>
          <w:i/>
          <w:sz w:val="20"/>
          <w:szCs w:val="20"/>
          <w:lang w:eastAsia="es-PE"/>
        </w:rPr>
      </w:pPr>
      <w:r>
        <w:rPr>
          <w:rFonts w:asciiTheme="minorHAnsi" w:hAnsiTheme="minorHAnsi" w:cstheme="minorHAnsi"/>
          <w:b/>
          <w:i/>
          <w:sz w:val="18"/>
          <w:szCs w:val="18"/>
        </w:rPr>
        <w:t>GRAFICA Nº6</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5B89D" w14:textId="77777777" w:rsidR="004F0620" w:rsidRDefault="004F0620" w:rsidP="006502B5">
      <w:r>
        <w:separator/>
      </w:r>
    </w:p>
  </w:endnote>
  <w:endnote w:type="continuationSeparator" w:id="0">
    <w:p w14:paraId="1C83AB88" w14:textId="77777777" w:rsidR="004F0620" w:rsidRDefault="004F0620"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0C9A8" w14:textId="77777777" w:rsidR="004F0620" w:rsidRDefault="004F0620" w:rsidP="006502B5">
      <w:r>
        <w:separator/>
      </w:r>
    </w:p>
  </w:footnote>
  <w:footnote w:type="continuationSeparator" w:id="0">
    <w:p w14:paraId="45E2DE58" w14:textId="77777777" w:rsidR="004F0620" w:rsidRDefault="004F0620" w:rsidP="006502B5">
      <w:r>
        <w:continuationSeparator/>
      </w:r>
    </w:p>
  </w:footnote>
  <w:footnote w:id="1">
    <w:p w14:paraId="1D2E7556" w14:textId="77777777" w:rsidR="00494331" w:rsidRPr="00EA7960" w:rsidRDefault="00494331" w:rsidP="00EA7960">
      <w:pPr>
        <w:pStyle w:val="Textonotapie"/>
        <w:spacing w:before="0" w:after="0" w:line="0" w:lineRule="atLeast"/>
        <w:rPr>
          <w:rFonts w:asciiTheme="minorHAnsi" w:hAnsiTheme="minorHAnsi" w:cstheme="minorHAnsi"/>
          <w:i/>
          <w:sz w:val="16"/>
          <w:szCs w:val="16"/>
        </w:rPr>
      </w:pPr>
      <w:r w:rsidRPr="003F61E5">
        <w:rPr>
          <w:vertAlign w:val="superscript"/>
        </w:rPr>
        <w:footnoteRef/>
      </w:r>
      <w:r w:rsidR="007A7847" w:rsidRPr="00EA7960">
        <w:rPr>
          <w:rFonts w:asciiTheme="minorHAnsi" w:hAnsiTheme="minorHAnsi" w:cstheme="minorHAnsi"/>
          <w:i/>
          <w:sz w:val="16"/>
          <w:szCs w:val="16"/>
        </w:rPr>
        <w:t>Fuentes: EIA</w:t>
      </w:r>
      <w:r w:rsidRPr="00EA7960">
        <w:rPr>
          <w:rFonts w:asciiTheme="minorHAnsi" w:hAnsiTheme="minorHAnsi" w:cstheme="minorHAnsi"/>
          <w:i/>
          <w:sz w:val="16"/>
          <w:szCs w:val="16"/>
        </w:rPr>
        <w:t>, Reuters</w:t>
      </w:r>
      <w:r w:rsidR="00D22304" w:rsidRPr="00EA7960">
        <w:rPr>
          <w:rFonts w:asciiTheme="minorHAnsi" w:hAnsiTheme="minorHAnsi" w:cstheme="minorHAnsi"/>
          <w:i/>
          <w:sz w:val="16"/>
          <w:szCs w:val="16"/>
        </w:rPr>
        <w:t>,</w:t>
      </w:r>
      <w:r w:rsidR="00BC79DF" w:rsidRPr="00EA7960">
        <w:rPr>
          <w:rFonts w:asciiTheme="minorHAnsi" w:hAnsiTheme="minorHAnsi" w:cstheme="minorHAnsi"/>
          <w:i/>
          <w:sz w:val="16"/>
          <w:szCs w:val="16"/>
        </w:rPr>
        <w:t xml:space="preserve"> otros.</w:t>
      </w:r>
    </w:p>
  </w:footnote>
  <w:footnote w:id="2">
    <w:p w14:paraId="18128E81" w14:textId="07323489" w:rsidR="000E16A0" w:rsidRPr="00EA7960" w:rsidRDefault="000E16A0" w:rsidP="00EA7960">
      <w:pPr>
        <w:pStyle w:val="Textonotapie"/>
        <w:spacing w:before="0" w:after="0" w:line="0" w:lineRule="atLeast"/>
        <w:rPr>
          <w:rFonts w:asciiTheme="minorHAnsi" w:hAnsiTheme="minorHAnsi" w:cstheme="minorHAnsi"/>
          <w:lang w:val="en-US"/>
        </w:rPr>
      </w:pPr>
      <w:r w:rsidRPr="00EA7960">
        <w:rPr>
          <w:rStyle w:val="Refdenotaalpie"/>
          <w:rFonts w:asciiTheme="minorHAnsi" w:hAnsiTheme="minorHAnsi" w:cstheme="minorHAnsi"/>
        </w:rPr>
        <w:footnoteRef/>
      </w:r>
      <w:r w:rsidRPr="00EA7960">
        <w:rPr>
          <w:rFonts w:asciiTheme="minorHAnsi" w:hAnsiTheme="minorHAnsi" w:cstheme="minorHAnsi"/>
          <w:lang w:val="en-US"/>
        </w:rPr>
        <w:t xml:space="preserve"> </w:t>
      </w:r>
      <w:r w:rsidR="00F608D1" w:rsidRPr="00EA7960">
        <w:rPr>
          <w:rFonts w:asciiTheme="minorHAnsi" w:hAnsiTheme="minorHAnsi" w:cstheme="minorHAnsi"/>
          <w:bCs/>
          <w:i/>
          <w:sz w:val="16"/>
          <w:szCs w:val="16"/>
          <w:lang w:val="en-US"/>
        </w:rPr>
        <w:t xml:space="preserve">Conventional </w:t>
      </w:r>
      <w:proofErr w:type="spellStart"/>
      <w:r w:rsidR="00F608D1" w:rsidRPr="00EA7960">
        <w:rPr>
          <w:rFonts w:asciiTheme="minorHAnsi" w:hAnsiTheme="minorHAnsi" w:cstheme="minorHAnsi"/>
          <w:bCs/>
          <w:i/>
          <w:sz w:val="16"/>
          <w:szCs w:val="16"/>
          <w:lang w:val="en-US"/>
        </w:rPr>
        <w:t>Blendstock</w:t>
      </w:r>
      <w:proofErr w:type="spellEnd"/>
      <w:r w:rsidR="00F608D1" w:rsidRPr="00EA7960">
        <w:rPr>
          <w:rFonts w:asciiTheme="minorHAnsi" w:hAnsiTheme="minorHAnsi" w:cstheme="minorHAnsi"/>
          <w:bCs/>
          <w:i/>
          <w:sz w:val="16"/>
          <w:szCs w:val="16"/>
          <w:lang w:val="en-US"/>
        </w:rPr>
        <w:t xml:space="preserve"> for Oxygenate Blending.</w:t>
      </w:r>
    </w:p>
  </w:footnote>
  <w:footnote w:id="3">
    <w:p w14:paraId="145FEDCF" w14:textId="77777777" w:rsidR="00A611A5" w:rsidRPr="00536554" w:rsidRDefault="00A611A5" w:rsidP="00A611A5">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Pr>
          <w:i/>
          <w:sz w:val="16"/>
          <w:szCs w:val="16"/>
        </w:rPr>
        <w:t>que resulta de dividir el 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5B4D9B2F"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D62207">
      <w:rPr>
        <w:rFonts w:ascii="Arial" w:hAnsi="Arial" w:cs="Arial"/>
        <w:b/>
        <w:noProof/>
        <w:color w:val="44546A"/>
        <w:sz w:val="22"/>
        <w:szCs w:val="22"/>
        <w:lang w:val="x-none"/>
      </w:rPr>
      <w:t>6</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30CB4191"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D62207">
      <w:rPr>
        <w:rFonts w:ascii="Arial" w:hAnsi="Arial" w:cs="Arial"/>
        <w:b/>
        <w:noProof/>
        <w:color w:val="1F497D"/>
        <w:lang w:val="en-US"/>
      </w:rPr>
      <w:t>10</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4"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7"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1"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5"/>
  </w:num>
  <w:num w:numId="6">
    <w:abstractNumId w:val="14"/>
  </w:num>
  <w:num w:numId="7">
    <w:abstractNumId w:val="13"/>
  </w:num>
  <w:num w:numId="8">
    <w:abstractNumId w:val="4"/>
  </w:num>
  <w:num w:numId="9">
    <w:abstractNumId w:val="15"/>
  </w:num>
  <w:num w:numId="10">
    <w:abstractNumId w:val="24"/>
  </w:num>
  <w:num w:numId="11">
    <w:abstractNumId w:val="26"/>
  </w:num>
  <w:num w:numId="12">
    <w:abstractNumId w:val="6"/>
  </w:num>
  <w:num w:numId="13">
    <w:abstractNumId w:val="26"/>
  </w:num>
  <w:num w:numId="14">
    <w:abstractNumId w:val="6"/>
  </w:num>
  <w:num w:numId="15">
    <w:abstractNumId w:val="8"/>
  </w:num>
  <w:num w:numId="16">
    <w:abstractNumId w:val="7"/>
  </w:num>
  <w:num w:numId="17">
    <w:abstractNumId w:val="2"/>
  </w:num>
  <w:num w:numId="18">
    <w:abstractNumId w:val="9"/>
  </w:num>
  <w:num w:numId="19">
    <w:abstractNumId w:val="16"/>
  </w:num>
  <w:num w:numId="20">
    <w:abstractNumId w:val="0"/>
  </w:num>
  <w:num w:numId="21">
    <w:abstractNumId w:val="22"/>
  </w:num>
  <w:num w:numId="22">
    <w:abstractNumId w:val="20"/>
  </w:num>
  <w:num w:numId="23">
    <w:abstractNumId w:val="21"/>
  </w:num>
  <w:num w:numId="24">
    <w:abstractNumId w:val="12"/>
  </w:num>
  <w:num w:numId="25">
    <w:abstractNumId w:val="23"/>
  </w:num>
  <w:num w:numId="26">
    <w:abstractNumId w:val="5"/>
  </w:num>
  <w:num w:numId="27">
    <w:abstractNumId w:val="19"/>
  </w:num>
  <w:num w:numId="28">
    <w:abstractNumId w:val="18"/>
  </w:num>
  <w:num w:numId="2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C99"/>
    <w:rsid w:val="000332A7"/>
    <w:rsid w:val="000337AC"/>
    <w:rsid w:val="00033C0A"/>
    <w:rsid w:val="00033CEA"/>
    <w:rsid w:val="00033F20"/>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904"/>
    <w:rsid w:val="00366A49"/>
    <w:rsid w:val="00366EAA"/>
    <w:rsid w:val="00366F1E"/>
    <w:rsid w:val="00366FC1"/>
    <w:rsid w:val="00367503"/>
    <w:rsid w:val="00367518"/>
    <w:rsid w:val="00367A5D"/>
    <w:rsid w:val="00367A6D"/>
    <w:rsid w:val="00367B73"/>
    <w:rsid w:val="00367CE1"/>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238"/>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939"/>
    <w:rsid w:val="00650C64"/>
    <w:rsid w:val="00650EF6"/>
    <w:rsid w:val="00650F6B"/>
    <w:rsid w:val="00650F96"/>
    <w:rsid w:val="00651057"/>
    <w:rsid w:val="00651262"/>
    <w:rsid w:val="006514AA"/>
    <w:rsid w:val="006515EB"/>
    <w:rsid w:val="0065174E"/>
    <w:rsid w:val="00651905"/>
    <w:rsid w:val="006519F8"/>
    <w:rsid w:val="00651B4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3F6"/>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51D"/>
    <w:rsid w:val="00D455C6"/>
    <w:rsid w:val="00D45B81"/>
    <w:rsid w:val="00D45F82"/>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207"/>
    <w:rsid w:val="00D6246F"/>
    <w:rsid w:val="00D62F39"/>
    <w:rsid w:val="00D63047"/>
    <w:rsid w:val="00D63100"/>
    <w:rsid w:val="00D6314A"/>
    <w:rsid w:val="00D63196"/>
    <w:rsid w:val="00D632F1"/>
    <w:rsid w:val="00D63388"/>
    <w:rsid w:val="00D635EC"/>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8D1"/>
    <w:rsid w:val="00F60952"/>
    <w:rsid w:val="00F612E4"/>
    <w:rsid w:val="00F61AD2"/>
    <w:rsid w:val="00F61AEA"/>
    <w:rsid w:val="00F61C00"/>
    <w:rsid w:val="00F61DD0"/>
    <w:rsid w:val="00F61E3E"/>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12BDF-B9C2-4E70-AD63-0EC0E9EA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1617</Words>
  <Characters>8898</Characters>
  <Application>Microsoft Office Word</Application>
  <DocSecurity>0</DocSecurity>
  <Lines>74</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2021-08-04T10:05:00Z</dcterms:created>
  <dcterms:modified xsi:type="dcterms:W3CDTF">2021-08-04T10:05:00Z</dcterms:modified>
</cp:coreProperties>
</file>